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26" w:rsidRPr="000E1E26" w:rsidRDefault="00997996" w:rsidP="000E1E26">
      <w:pPr>
        <w:pStyle w:val="ListParagraph"/>
        <w:numPr>
          <w:ilvl w:val="0"/>
          <w:numId w:val="2"/>
        </w:numPr>
        <w:spacing w:line="360" w:lineRule="auto"/>
        <w:jc w:val="both"/>
        <w:rPr>
          <w:sz w:val="28"/>
          <w:szCs w:val="28"/>
        </w:rPr>
      </w:pPr>
      <w:r w:rsidRPr="000E1E26">
        <w:rPr>
          <w:sz w:val="28"/>
          <w:szCs w:val="28"/>
        </w:rPr>
        <w:t>Cancer Chemotherapy is use of drugs in cancer management.</w:t>
      </w:r>
    </w:p>
    <w:p w:rsidR="00687F26" w:rsidRPr="000E1E26" w:rsidRDefault="00687F26" w:rsidP="000E1E26">
      <w:pPr>
        <w:pStyle w:val="ListParagraph"/>
        <w:numPr>
          <w:ilvl w:val="0"/>
          <w:numId w:val="2"/>
        </w:numPr>
        <w:spacing w:line="360" w:lineRule="auto"/>
        <w:jc w:val="both"/>
        <w:rPr>
          <w:sz w:val="28"/>
          <w:szCs w:val="28"/>
        </w:rPr>
      </w:pPr>
      <w:r w:rsidRPr="000E1E26">
        <w:rPr>
          <w:sz w:val="28"/>
          <w:szCs w:val="28"/>
        </w:rPr>
        <w:t>Since neoplastic(cancer) cells resemble to normal cells in many respect; drugs used to kill tumor cells, MAY ALSO KILL NORMAL CELLS.</w:t>
      </w:r>
    </w:p>
    <w:p w:rsidR="00997996" w:rsidRPr="000E1E26" w:rsidRDefault="00687F26" w:rsidP="000E1E26">
      <w:pPr>
        <w:pStyle w:val="ListParagraph"/>
        <w:numPr>
          <w:ilvl w:val="0"/>
          <w:numId w:val="2"/>
        </w:numPr>
        <w:spacing w:line="360" w:lineRule="auto"/>
        <w:jc w:val="both"/>
        <w:rPr>
          <w:sz w:val="28"/>
          <w:szCs w:val="28"/>
        </w:rPr>
      </w:pPr>
      <w:r w:rsidRPr="000E1E26">
        <w:rPr>
          <w:sz w:val="28"/>
          <w:szCs w:val="28"/>
        </w:rPr>
        <w:t>Since most anti-cancer agents act on RAPIDLY-DIVIDING CELLS</w:t>
      </w:r>
      <w:r w:rsidR="00997996" w:rsidRPr="000E1E26">
        <w:rPr>
          <w:sz w:val="28"/>
          <w:szCs w:val="28"/>
        </w:rPr>
        <w:t>,</w:t>
      </w:r>
      <w:r w:rsidRPr="000E1E26">
        <w:rPr>
          <w:sz w:val="28"/>
          <w:szCs w:val="28"/>
        </w:rPr>
        <w:t xml:space="preserve"> normal cells with QUICK TURNOVER are most susceptible to toxicity lead to side- effects like: a. Bone marrow suppression b. Alopecia c. Mucositis, etc. </w:t>
      </w:r>
    </w:p>
    <w:p w:rsidR="00C53EAF" w:rsidRPr="000E1E26" w:rsidRDefault="00687F26" w:rsidP="000E1E26">
      <w:pPr>
        <w:pStyle w:val="ListParagraph"/>
        <w:numPr>
          <w:ilvl w:val="0"/>
          <w:numId w:val="2"/>
        </w:numPr>
        <w:spacing w:line="360" w:lineRule="auto"/>
        <w:jc w:val="both"/>
        <w:rPr>
          <w:sz w:val="28"/>
          <w:szCs w:val="28"/>
        </w:rPr>
      </w:pPr>
      <w:r w:rsidRPr="000E1E26">
        <w:rPr>
          <w:sz w:val="28"/>
          <w:szCs w:val="28"/>
        </w:rPr>
        <w:t>Newer drugs target “specific steps in cell cycle” devoid of above adverse effects.</w:t>
      </w:r>
    </w:p>
    <w:p w:rsidR="00687F26" w:rsidRPr="000E1E26" w:rsidRDefault="00687F26" w:rsidP="000E1E26">
      <w:pPr>
        <w:pStyle w:val="ListParagraph"/>
        <w:numPr>
          <w:ilvl w:val="0"/>
          <w:numId w:val="2"/>
        </w:numPr>
        <w:spacing w:line="360" w:lineRule="auto"/>
        <w:jc w:val="both"/>
        <w:rPr>
          <w:sz w:val="28"/>
          <w:szCs w:val="28"/>
        </w:rPr>
      </w:pPr>
      <w:r w:rsidRPr="000E1E26">
        <w:rPr>
          <w:sz w:val="28"/>
          <w:szCs w:val="28"/>
        </w:rPr>
        <w:t>Anti-cancer agents are classified into the following headings: A. ALKYLATING AGENTS B. PLATINUM COMPOUNDS C. ANTI-METABOLITES D. NATURAL PRODUCTS E. HORMONES &amp; RELATED AGENTS.</w:t>
      </w:r>
    </w:p>
    <w:p w:rsidR="00997996" w:rsidRPr="000E1E26" w:rsidRDefault="00997996" w:rsidP="000E1E26">
      <w:pPr>
        <w:pStyle w:val="ListParagraph"/>
        <w:numPr>
          <w:ilvl w:val="0"/>
          <w:numId w:val="2"/>
        </w:numPr>
        <w:spacing w:line="360" w:lineRule="auto"/>
        <w:jc w:val="both"/>
        <w:rPr>
          <w:sz w:val="28"/>
          <w:szCs w:val="28"/>
        </w:rPr>
      </w:pPr>
      <w:r w:rsidRPr="000E1E26">
        <w:rPr>
          <w:sz w:val="28"/>
          <w:szCs w:val="28"/>
        </w:rPr>
        <w:t>As we know, there are 4 phases of cell-cycle: a. G1 Phase b. S Phase c. G2 Phase d. M phase. Anti-cancer agents act on different stages of cell-cycle.</w:t>
      </w:r>
    </w:p>
    <w:p w:rsidR="000E1E26" w:rsidRPr="000E1E26" w:rsidRDefault="000E1E26" w:rsidP="000E1E26">
      <w:pPr>
        <w:pStyle w:val="ListParagraph"/>
        <w:numPr>
          <w:ilvl w:val="0"/>
          <w:numId w:val="1"/>
        </w:numPr>
        <w:spacing w:after="0" w:line="240" w:lineRule="auto"/>
        <w:rPr>
          <w:rFonts w:eastAsia="Times New Roman" w:cstheme="minorHAnsi"/>
          <w:sz w:val="28"/>
          <w:szCs w:val="28"/>
        </w:rPr>
      </w:pPr>
      <w:r w:rsidRPr="000E1E26">
        <w:rPr>
          <w:rFonts w:eastAsia="Times New Roman" w:cstheme="minorHAnsi"/>
          <w:b/>
          <w:bCs/>
          <w:sz w:val="28"/>
          <w:szCs w:val="28"/>
        </w:rPr>
        <w:t>ALKYLATING AGENTS</w:t>
      </w:r>
    </w:p>
    <w:p w:rsidR="000E1E26" w:rsidRPr="000E1E26" w:rsidRDefault="000E1E26" w:rsidP="000E1E26">
      <w:pPr>
        <w:spacing w:after="0" w:line="240" w:lineRule="auto"/>
        <w:rPr>
          <w:rFonts w:eastAsia="Times New Roman" w:cstheme="minorHAnsi"/>
          <w:sz w:val="28"/>
          <w:szCs w:val="28"/>
        </w:rPr>
      </w:pPr>
    </w:p>
    <w:p w:rsidR="000E1E26" w:rsidRPr="000E1E26" w:rsidRDefault="000E1E26" w:rsidP="000E1E26">
      <w:pPr>
        <w:spacing w:after="0" w:line="360" w:lineRule="auto"/>
        <w:jc w:val="both"/>
        <w:rPr>
          <w:rFonts w:eastAsia="Times New Roman" w:cstheme="minorHAnsi"/>
          <w:sz w:val="28"/>
          <w:szCs w:val="28"/>
        </w:rPr>
      </w:pPr>
      <w:r w:rsidRPr="000E1E26">
        <w:rPr>
          <w:rFonts w:eastAsia="Times New Roman" w:cstheme="minorHAnsi"/>
          <w:sz w:val="28"/>
          <w:szCs w:val="28"/>
        </w:rPr>
        <w:t xml:space="preserve">Alkylating agents are classified as: </w:t>
      </w:r>
    </w:p>
    <w:p w:rsidR="000E1E26" w:rsidRPr="000E1E26" w:rsidRDefault="000E1E26" w:rsidP="000E1E26">
      <w:pPr>
        <w:spacing w:after="0" w:line="360" w:lineRule="auto"/>
        <w:jc w:val="both"/>
        <w:rPr>
          <w:rFonts w:eastAsia="Times New Roman" w:cstheme="minorHAnsi"/>
          <w:sz w:val="28"/>
          <w:szCs w:val="28"/>
        </w:rPr>
      </w:pPr>
      <w:r w:rsidRPr="000E1E26">
        <w:rPr>
          <w:rFonts w:eastAsia="Times New Roman" w:cstheme="minorHAnsi"/>
          <w:sz w:val="28"/>
          <w:szCs w:val="28"/>
        </w:rPr>
        <w:t xml:space="preserve">A. NITROGEN MUSTARDS(Mechlorethamine, cyclophosphamide, ifosfamide, melphalan, chlorambucil) </w:t>
      </w:r>
    </w:p>
    <w:p w:rsidR="000E1E26" w:rsidRPr="000E1E26" w:rsidRDefault="000E1E26" w:rsidP="000E1E26">
      <w:pPr>
        <w:spacing w:after="0" w:line="360" w:lineRule="auto"/>
        <w:jc w:val="both"/>
        <w:rPr>
          <w:rFonts w:eastAsia="Times New Roman" w:cstheme="minorHAnsi"/>
          <w:sz w:val="28"/>
          <w:szCs w:val="28"/>
        </w:rPr>
      </w:pPr>
      <w:r w:rsidRPr="000E1E26">
        <w:rPr>
          <w:rFonts w:eastAsia="Times New Roman" w:cstheme="minorHAnsi"/>
          <w:sz w:val="28"/>
          <w:szCs w:val="28"/>
        </w:rPr>
        <w:t xml:space="preserve">B. ETHYLENIMINES(Thio-TEPA, Hexamethylmelamine(altretamine) </w:t>
      </w:r>
    </w:p>
    <w:p w:rsidR="000E1E26" w:rsidRPr="000E1E26" w:rsidRDefault="000E1E26" w:rsidP="000E1E26">
      <w:pPr>
        <w:spacing w:after="0" w:line="360" w:lineRule="auto"/>
        <w:jc w:val="both"/>
        <w:rPr>
          <w:rFonts w:eastAsia="Times New Roman" w:cstheme="minorHAnsi"/>
          <w:sz w:val="28"/>
          <w:szCs w:val="28"/>
        </w:rPr>
      </w:pPr>
      <w:r w:rsidRPr="000E1E26">
        <w:rPr>
          <w:rFonts w:eastAsia="Times New Roman" w:cstheme="minorHAnsi"/>
          <w:sz w:val="28"/>
          <w:szCs w:val="28"/>
        </w:rPr>
        <w:t xml:space="preserve">C. ALKYL SULFONATES(Busulfan) </w:t>
      </w:r>
    </w:p>
    <w:p w:rsidR="000E1E26" w:rsidRPr="000E1E26" w:rsidRDefault="000E1E26" w:rsidP="000E1E26">
      <w:pPr>
        <w:spacing w:after="0" w:line="360" w:lineRule="auto"/>
        <w:jc w:val="both"/>
        <w:rPr>
          <w:rFonts w:eastAsia="Times New Roman" w:cstheme="minorHAnsi"/>
          <w:sz w:val="28"/>
          <w:szCs w:val="28"/>
        </w:rPr>
      </w:pPr>
      <w:r w:rsidRPr="000E1E26">
        <w:rPr>
          <w:rFonts w:eastAsia="Times New Roman" w:cstheme="minorHAnsi"/>
          <w:sz w:val="28"/>
          <w:szCs w:val="28"/>
        </w:rPr>
        <w:t xml:space="preserve">D. NITROSOUREAS(Carmustine, lomustine, streptozocin) </w:t>
      </w:r>
    </w:p>
    <w:p w:rsidR="000E1E26" w:rsidRPr="000E1E26" w:rsidRDefault="000E1E26" w:rsidP="000E1E26">
      <w:pPr>
        <w:spacing w:after="0" w:line="360" w:lineRule="auto"/>
        <w:jc w:val="both"/>
        <w:rPr>
          <w:rFonts w:eastAsia="Times New Roman" w:cstheme="minorHAnsi"/>
          <w:sz w:val="28"/>
          <w:szCs w:val="28"/>
        </w:rPr>
      </w:pPr>
      <w:r w:rsidRPr="000E1E26">
        <w:rPr>
          <w:rFonts w:eastAsia="Times New Roman" w:cstheme="minorHAnsi"/>
          <w:sz w:val="28"/>
          <w:szCs w:val="28"/>
        </w:rPr>
        <w:t xml:space="preserve">E. TRIAZINES(Procarbazine, dacarbazine, temozolomide) </w:t>
      </w:r>
    </w:p>
    <w:p w:rsidR="000E1E26" w:rsidRPr="000E1E26" w:rsidRDefault="000E1E26" w:rsidP="000E1E26">
      <w:pPr>
        <w:spacing w:after="0" w:line="360" w:lineRule="auto"/>
        <w:jc w:val="both"/>
        <w:rPr>
          <w:rFonts w:eastAsia="Times New Roman" w:cstheme="minorHAnsi"/>
          <w:sz w:val="28"/>
          <w:szCs w:val="28"/>
        </w:rPr>
      </w:pPr>
    </w:p>
    <w:p w:rsidR="000E1E26" w:rsidRPr="000E1E26" w:rsidRDefault="000E1E26" w:rsidP="000E1E26">
      <w:pPr>
        <w:spacing w:line="360" w:lineRule="auto"/>
        <w:jc w:val="both"/>
        <w:rPr>
          <w:rFonts w:eastAsia="Times New Roman" w:cstheme="minorHAnsi"/>
          <w:sz w:val="28"/>
          <w:szCs w:val="28"/>
        </w:rPr>
      </w:pPr>
      <w:r w:rsidRPr="000E1E26">
        <w:rPr>
          <w:rFonts w:eastAsia="Times New Roman" w:cstheme="minorHAnsi"/>
          <w:sz w:val="28"/>
          <w:szCs w:val="28"/>
        </w:rPr>
        <w:t xml:space="preserve">All alkylating agents &amp; related drugs (procarbazine, dacarbazine &amp; platinum compounds) are CCNS drugs thus, they act on resting, as well as dividing cells </w:t>
      </w:r>
      <w:r w:rsidRPr="000E1E26">
        <w:rPr>
          <w:rFonts w:eastAsia="Times New Roman" w:cstheme="minorHAnsi"/>
          <w:sz w:val="28"/>
          <w:szCs w:val="28"/>
        </w:rPr>
        <w:lastRenderedPageBreak/>
        <w:t>Drugs  alkylate nucleophilic groups on DNA bases(N7 of guanine)  leads to: a. Cross-linkage of bases b. Abnormal base-pairing c. DNA-strand breakage.</w:t>
      </w:r>
    </w:p>
    <w:p w:rsidR="00997996" w:rsidRPr="000E1E26" w:rsidRDefault="000E1E26" w:rsidP="000E1E26">
      <w:pPr>
        <w:spacing w:line="360" w:lineRule="auto"/>
        <w:jc w:val="both"/>
        <w:rPr>
          <w:rFonts w:eastAsia="Times New Roman" w:cstheme="minorHAnsi"/>
          <w:sz w:val="28"/>
          <w:szCs w:val="28"/>
        </w:rPr>
      </w:pPr>
      <w:r w:rsidRPr="000E1E26">
        <w:rPr>
          <w:rFonts w:eastAsia="Times New Roman" w:cstheme="minorHAnsi"/>
          <w:sz w:val="28"/>
          <w:szCs w:val="28"/>
        </w:rPr>
        <w:t>Major ADRs include: a. GI distress. b. Bone marrow suppression c. Alopecia d. Secondary leukemiase. Sterility</w:t>
      </w:r>
    </w:p>
    <w:p w:rsidR="000E1E26" w:rsidRPr="000E1E26" w:rsidRDefault="000E1E26" w:rsidP="000E1E26">
      <w:pPr>
        <w:pStyle w:val="ListParagraph"/>
        <w:numPr>
          <w:ilvl w:val="0"/>
          <w:numId w:val="1"/>
        </w:numPr>
        <w:spacing w:after="0" w:line="360" w:lineRule="auto"/>
        <w:jc w:val="both"/>
        <w:rPr>
          <w:rFonts w:eastAsia="Times New Roman" w:cstheme="minorHAnsi"/>
          <w:b/>
          <w:bCs/>
          <w:sz w:val="28"/>
          <w:szCs w:val="28"/>
        </w:rPr>
      </w:pPr>
      <w:r w:rsidRPr="000E1E26">
        <w:rPr>
          <w:rFonts w:eastAsia="Times New Roman" w:cstheme="minorHAnsi"/>
          <w:b/>
          <w:bCs/>
          <w:sz w:val="28"/>
          <w:szCs w:val="28"/>
        </w:rPr>
        <w:t xml:space="preserve">PLATINUM COMPOUNDS </w:t>
      </w:r>
    </w:p>
    <w:p w:rsidR="000E1E26" w:rsidRDefault="000E1E26" w:rsidP="000E1E26">
      <w:pPr>
        <w:spacing w:line="360" w:lineRule="auto"/>
        <w:jc w:val="both"/>
        <w:rPr>
          <w:rFonts w:eastAsia="Times New Roman" w:cstheme="minorHAnsi"/>
          <w:sz w:val="28"/>
          <w:szCs w:val="28"/>
        </w:rPr>
      </w:pPr>
      <w:r w:rsidRPr="000E1E26">
        <w:rPr>
          <w:rFonts w:eastAsia="Times New Roman" w:cstheme="minorHAnsi"/>
          <w:sz w:val="28"/>
          <w:szCs w:val="28"/>
        </w:rPr>
        <w:t xml:space="preserve">Include CISPLATIN, CARBOPLATIN &amp; OXALIPLATIN </w:t>
      </w:r>
    </w:p>
    <w:p w:rsidR="007A2AF1" w:rsidRDefault="000E1E26" w:rsidP="000E1E26">
      <w:pPr>
        <w:spacing w:line="360" w:lineRule="auto"/>
        <w:jc w:val="both"/>
        <w:rPr>
          <w:rFonts w:eastAsia="Times New Roman" w:cstheme="minorHAnsi"/>
          <w:sz w:val="28"/>
          <w:szCs w:val="28"/>
        </w:rPr>
      </w:pPr>
      <w:r w:rsidRPr="000E1E26">
        <w:rPr>
          <w:rFonts w:eastAsia="Times New Roman" w:cstheme="minorHAnsi"/>
          <w:sz w:val="28"/>
          <w:szCs w:val="28"/>
        </w:rPr>
        <w:t xml:space="preserve">Although they are not ‘alkylating agents’ they possess similar MOA as that of alkylating agents. Only difference is that platinum compounds use “PLATINUM” instead of “ALKYL GROUP” to form DNA dimers.  </w:t>
      </w:r>
    </w:p>
    <w:p w:rsidR="000E1E26" w:rsidRDefault="007A2AF1" w:rsidP="000E1E26">
      <w:pPr>
        <w:spacing w:line="360" w:lineRule="auto"/>
        <w:jc w:val="both"/>
        <w:rPr>
          <w:rFonts w:eastAsia="Times New Roman" w:cstheme="minorHAnsi"/>
          <w:sz w:val="28"/>
          <w:szCs w:val="28"/>
        </w:rPr>
      </w:pPr>
      <w:r>
        <w:rPr>
          <w:rFonts w:eastAsia="Times New Roman" w:cstheme="minorHAnsi"/>
          <w:sz w:val="28"/>
          <w:szCs w:val="28"/>
        </w:rPr>
        <w:t xml:space="preserve">ADRs: </w:t>
      </w:r>
      <w:r w:rsidR="000E1E26" w:rsidRPr="000E1E26">
        <w:rPr>
          <w:rFonts w:eastAsia="Times New Roman" w:cstheme="minorHAnsi"/>
          <w:sz w:val="28"/>
          <w:szCs w:val="28"/>
        </w:rPr>
        <w:t>They are the drugs that cause MAXIMUM EMESIS issues!  Other effects of platinum compounds include: a. Mild bone marrow toxicity b. Ototoxicity c. Neurotoxicity d. Nephrotoxicity • CISPLATIN is most nephrotoxic • CARBOPLATIN is most HEMOTOXIC(causes maximum bone marrow toxicity)</w:t>
      </w:r>
    </w:p>
    <w:p w:rsidR="007A2AF1" w:rsidRPr="007A2AF1" w:rsidRDefault="007A2AF1" w:rsidP="007A2AF1">
      <w:pPr>
        <w:pStyle w:val="ListParagraph"/>
        <w:numPr>
          <w:ilvl w:val="0"/>
          <w:numId w:val="1"/>
        </w:numPr>
        <w:spacing w:after="0" w:line="360" w:lineRule="auto"/>
        <w:rPr>
          <w:rFonts w:eastAsia="Times New Roman" w:cstheme="minorHAnsi"/>
          <w:b/>
          <w:bCs/>
          <w:sz w:val="28"/>
          <w:szCs w:val="28"/>
        </w:rPr>
      </w:pPr>
      <w:r w:rsidRPr="007A2AF1">
        <w:rPr>
          <w:rFonts w:eastAsia="Times New Roman" w:cstheme="minorHAnsi"/>
          <w:b/>
          <w:bCs/>
          <w:sz w:val="28"/>
          <w:szCs w:val="28"/>
        </w:rPr>
        <w:t xml:space="preserve">ANTI-METABOLITES </w:t>
      </w:r>
    </w:p>
    <w:p w:rsidR="007A2AF1" w:rsidRPr="007A2AF1" w:rsidRDefault="007A2AF1" w:rsidP="007A2AF1">
      <w:pPr>
        <w:spacing w:after="0" w:line="360" w:lineRule="auto"/>
        <w:rPr>
          <w:rFonts w:eastAsia="Times New Roman" w:cstheme="minorHAnsi"/>
          <w:sz w:val="28"/>
          <w:szCs w:val="28"/>
        </w:rPr>
      </w:pPr>
      <w:r w:rsidRPr="007A2AF1">
        <w:rPr>
          <w:rFonts w:eastAsia="Times New Roman" w:cstheme="minorHAnsi"/>
          <w:sz w:val="28"/>
          <w:szCs w:val="28"/>
        </w:rPr>
        <w:t xml:space="preserve">ANTI-METABOLITES are classified as: A. PYRIMIDINE ANALOGS: 5-FU, Cytarabine, Gemcitabine B. PURINE ANALOGS: 6-MP, 6-thioguanine, pentostatin, cladribine C. FOLIC ACID ANALOGS: MTX, Pemetrexed, Pralatrexate. </w:t>
      </w:r>
    </w:p>
    <w:p w:rsidR="007A2AF1" w:rsidRDefault="007A2AF1" w:rsidP="007A2AF1">
      <w:pPr>
        <w:spacing w:line="360" w:lineRule="auto"/>
        <w:jc w:val="both"/>
        <w:rPr>
          <w:rFonts w:eastAsia="Times New Roman" w:cstheme="minorHAnsi"/>
          <w:sz w:val="28"/>
          <w:szCs w:val="28"/>
        </w:rPr>
      </w:pPr>
      <w:r w:rsidRPr="007A2AF1">
        <w:rPr>
          <w:rFonts w:eastAsia="Times New Roman" w:cstheme="minorHAnsi"/>
          <w:sz w:val="28"/>
          <w:szCs w:val="28"/>
        </w:rPr>
        <w:t xml:space="preserve">Since these drugs act in the S-PHASE of cell-cycle they are CCS DRUGS, meaning that they act ONLY AGAINST DIVIDING CELLS! </w:t>
      </w:r>
    </w:p>
    <w:p w:rsidR="007A2AF1" w:rsidRDefault="007A2AF1" w:rsidP="007A2AF1">
      <w:pPr>
        <w:spacing w:line="360" w:lineRule="auto"/>
        <w:jc w:val="both"/>
        <w:rPr>
          <w:rFonts w:eastAsia="Times New Roman" w:cstheme="minorHAnsi"/>
          <w:sz w:val="28"/>
          <w:szCs w:val="28"/>
        </w:rPr>
      </w:pPr>
      <w:r w:rsidRPr="007A2AF1">
        <w:rPr>
          <w:rFonts w:eastAsia="Times New Roman" w:cstheme="minorHAnsi"/>
          <w:sz w:val="28"/>
          <w:szCs w:val="28"/>
        </w:rPr>
        <w:t>Possess IMMUNOSUPPPRESSIVE properties, other than that of ANTINEOPLASTIC EFFECTS</w:t>
      </w:r>
    </w:p>
    <w:p w:rsidR="007A2AF1" w:rsidRDefault="007A2AF1" w:rsidP="007A2AF1">
      <w:pPr>
        <w:spacing w:line="360" w:lineRule="auto"/>
        <w:jc w:val="both"/>
        <w:rPr>
          <w:rFonts w:eastAsia="Times New Roman" w:cstheme="minorHAnsi"/>
          <w:sz w:val="28"/>
          <w:szCs w:val="28"/>
        </w:rPr>
      </w:pPr>
    </w:p>
    <w:p w:rsidR="007A2AF1" w:rsidRDefault="007A2AF1" w:rsidP="007A2AF1">
      <w:pPr>
        <w:spacing w:line="360" w:lineRule="auto"/>
        <w:jc w:val="both"/>
        <w:rPr>
          <w:rFonts w:eastAsia="Times New Roman" w:cstheme="minorHAnsi"/>
          <w:sz w:val="28"/>
          <w:szCs w:val="28"/>
        </w:rPr>
      </w:pPr>
    </w:p>
    <w:p w:rsidR="007A2AF1" w:rsidRPr="007A2AF1" w:rsidRDefault="007A2AF1" w:rsidP="007A2AF1">
      <w:pPr>
        <w:pStyle w:val="ListParagraph"/>
        <w:numPr>
          <w:ilvl w:val="0"/>
          <w:numId w:val="1"/>
        </w:numPr>
        <w:spacing w:after="0" w:line="360" w:lineRule="auto"/>
        <w:rPr>
          <w:rFonts w:eastAsia="Times New Roman" w:cstheme="minorHAnsi"/>
          <w:b/>
          <w:bCs/>
          <w:sz w:val="28"/>
          <w:szCs w:val="28"/>
        </w:rPr>
      </w:pPr>
      <w:r w:rsidRPr="007A2AF1">
        <w:rPr>
          <w:rFonts w:eastAsia="Times New Roman" w:cstheme="minorHAnsi"/>
          <w:b/>
          <w:bCs/>
          <w:sz w:val="28"/>
          <w:szCs w:val="28"/>
        </w:rPr>
        <w:lastRenderedPageBreak/>
        <w:t xml:space="preserve">MITOTIC SPINDLE INHIBITORS </w:t>
      </w:r>
    </w:p>
    <w:p w:rsidR="00CB0437" w:rsidRDefault="007A2AF1" w:rsidP="007A2AF1">
      <w:pPr>
        <w:spacing w:line="360" w:lineRule="auto"/>
        <w:jc w:val="both"/>
        <w:rPr>
          <w:rFonts w:eastAsia="Times New Roman" w:cstheme="minorHAnsi"/>
          <w:sz w:val="28"/>
          <w:szCs w:val="28"/>
        </w:rPr>
      </w:pPr>
      <w:r w:rsidRPr="007A2AF1">
        <w:rPr>
          <w:rFonts w:eastAsia="Times New Roman" w:cstheme="minorHAnsi"/>
          <w:sz w:val="28"/>
          <w:szCs w:val="28"/>
        </w:rPr>
        <w:t xml:space="preserve">Include: </w:t>
      </w:r>
    </w:p>
    <w:p w:rsidR="007A2AF1" w:rsidRDefault="007A2AF1" w:rsidP="007A2AF1">
      <w:pPr>
        <w:spacing w:line="360" w:lineRule="auto"/>
        <w:jc w:val="both"/>
        <w:rPr>
          <w:rFonts w:eastAsia="Times New Roman" w:cstheme="minorHAnsi"/>
          <w:sz w:val="28"/>
          <w:szCs w:val="28"/>
        </w:rPr>
      </w:pPr>
      <w:bookmarkStart w:id="0" w:name="_GoBack"/>
      <w:bookmarkEnd w:id="0"/>
      <w:r w:rsidRPr="007A2AF1">
        <w:rPr>
          <w:rFonts w:eastAsia="Times New Roman" w:cstheme="minorHAnsi"/>
          <w:sz w:val="28"/>
          <w:szCs w:val="28"/>
        </w:rPr>
        <w:t xml:space="preserve">A. VINCA ALKALOIDS(Vincristine, vinblastine, vinorelbine) </w:t>
      </w:r>
    </w:p>
    <w:p w:rsidR="007A2AF1" w:rsidRPr="007A2AF1" w:rsidRDefault="007A2AF1" w:rsidP="007A2AF1">
      <w:pPr>
        <w:spacing w:line="360" w:lineRule="auto"/>
        <w:jc w:val="both"/>
        <w:rPr>
          <w:rFonts w:eastAsia="Times New Roman" w:cstheme="minorHAnsi"/>
          <w:sz w:val="28"/>
          <w:szCs w:val="28"/>
        </w:rPr>
      </w:pPr>
      <w:r w:rsidRPr="007A2AF1">
        <w:rPr>
          <w:sz w:val="28"/>
          <w:szCs w:val="28"/>
        </w:rPr>
        <w:t xml:space="preserve">VINCA ALKALOIDS: - Drugs  inhibit formation of mitotic spindle </w:t>
      </w:r>
      <w:r w:rsidRPr="007A2AF1">
        <w:rPr>
          <w:sz w:val="28"/>
          <w:szCs w:val="28"/>
        </w:rPr>
        <w:sym w:font="Symbol" w:char="F0E0"/>
      </w:r>
      <w:r w:rsidRPr="007A2AF1">
        <w:rPr>
          <w:sz w:val="28"/>
          <w:szCs w:val="28"/>
        </w:rPr>
        <w:t xml:space="preserve"> inhibit microtubule polymerization - Effective in M-phase of cell-cycle - Can cause SIADH - Vinblastine causes bone marrow toxicity - Although vincristine is “marrow-sparing”  it can cause “neurotoxicity” (peripheral neuropathy)</w:t>
      </w:r>
    </w:p>
    <w:p w:rsidR="007A2AF1" w:rsidRDefault="007A2AF1" w:rsidP="007A2AF1">
      <w:pPr>
        <w:spacing w:line="360" w:lineRule="auto"/>
        <w:jc w:val="both"/>
        <w:rPr>
          <w:rFonts w:eastAsia="Times New Roman" w:cstheme="minorHAnsi"/>
          <w:sz w:val="28"/>
          <w:szCs w:val="28"/>
        </w:rPr>
      </w:pPr>
      <w:r w:rsidRPr="007A2AF1">
        <w:rPr>
          <w:rFonts w:eastAsia="Times New Roman" w:cstheme="minorHAnsi"/>
          <w:sz w:val="28"/>
          <w:szCs w:val="28"/>
        </w:rPr>
        <w:t xml:space="preserve">B. TAXANES(Paclitaxel, docetaxel, cabazitaxel) </w:t>
      </w:r>
      <w:r>
        <w:rPr>
          <w:rFonts w:eastAsia="Times New Roman" w:cstheme="minorHAnsi"/>
          <w:sz w:val="28"/>
          <w:szCs w:val="28"/>
        </w:rPr>
        <w:t>and other compounds</w:t>
      </w:r>
    </w:p>
    <w:p w:rsidR="007A2AF1" w:rsidRPr="00CB0437" w:rsidRDefault="007A2AF1" w:rsidP="007A2AF1">
      <w:pPr>
        <w:spacing w:line="360" w:lineRule="auto"/>
        <w:jc w:val="both"/>
        <w:rPr>
          <w:rFonts w:eastAsia="Times New Roman" w:cstheme="minorHAnsi"/>
          <w:sz w:val="28"/>
          <w:szCs w:val="28"/>
        </w:rPr>
      </w:pPr>
      <w:r w:rsidRPr="00CB0437">
        <w:rPr>
          <w:sz w:val="28"/>
          <w:szCs w:val="28"/>
        </w:rPr>
        <w:t xml:space="preserve">PACLITAXEL &amp;DOCETAXEL  prevent disassembly of microtubules </w:t>
      </w:r>
      <w:r w:rsidRPr="00CB0437">
        <w:rPr>
          <w:sz w:val="28"/>
          <w:szCs w:val="28"/>
        </w:rPr>
        <w:sym w:font="Symbol" w:char="F0E0"/>
      </w:r>
      <w:r w:rsidRPr="00CB0437">
        <w:rPr>
          <w:sz w:val="28"/>
          <w:szCs w:val="28"/>
        </w:rPr>
        <w:t xml:space="preserve"> interfere with mitotic spindle formation - Paclitaxel  causes hypersensitivity reactions - Docetaxe is devoid of above adverse effect - Since paclitaxel has risks of hypersensitivity reactions  protein-bound paclitaxel(Nab-paclitaxel) is used - Both paclitaxel &amp; docetaxel can cause bone marrow&amp; neurotoxicity</w:t>
      </w:r>
    </w:p>
    <w:p w:rsidR="007A2AF1" w:rsidRPr="007A2AF1" w:rsidRDefault="007A2AF1" w:rsidP="007A2AF1">
      <w:pPr>
        <w:pStyle w:val="ListParagraph"/>
        <w:numPr>
          <w:ilvl w:val="0"/>
          <w:numId w:val="3"/>
        </w:numPr>
        <w:spacing w:after="0" w:line="360" w:lineRule="auto"/>
        <w:jc w:val="both"/>
        <w:rPr>
          <w:rFonts w:eastAsia="Times New Roman" w:cstheme="minorHAnsi"/>
          <w:b/>
          <w:bCs/>
          <w:sz w:val="28"/>
          <w:szCs w:val="28"/>
        </w:rPr>
      </w:pPr>
      <w:r w:rsidRPr="007A2AF1">
        <w:rPr>
          <w:rFonts w:eastAsia="Times New Roman" w:cstheme="minorHAnsi"/>
          <w:b/>
          <w:bCs/>
          <w:sz w:val="28"/>
          <w:szCs w:val="28"/>
        </w:rPr>
        <w:t xml:space="preserve">TOPOISOMERASE INHIBITORS </w:t>
      </w:r>
    </w:p>
    <w:p w:rsidR="007A2AF1" w:rsidRPr="007A2AF1" w:rsidRDefault="007A2AF1" w:rsidP="007A2AF1">
      <w:pPr>
        <w:spacing w:line="360" w:lineRule="auto"/>
        <w:jc w:val="both"/>
        <w:rPr>
          <w:rFonts w:eastAsia="Times New Roman" w:cstheme="minorHAnsi"/>
          <w:sz w:val="28"/>
          <w:szCs w:val="28"/>
        </w:rPr>
      </w:pPr>
      <w:r w:rsidRPr="007A2AF1">
        <w:rPr>
          <w:rFonts w:eastAsia="Times New Roman" w:cstheme="minorHAnsi"/>
          <w:sz w:val="28"/>
          <w:szCs w:val="28"/>
        </w:rPr>
        <w:t xml:space="preserve">Includes: A. CAMPTOTHECINS: Irinotecan, topotecan </w:t>
      </w:r>
    </w:p>
    <w:p w:rsidR="007A2AF1" w:rsidRPr="007A2AF1" w:rsidRDefault="007A2AF1" w:rsidP="007A2AF1">
      <w:pPr>
        <w:spacing w:line="360" w:lineRule="auto"/>
        <w:jc w:val="both"/>
        <w:rPr>
          <w:rFonts w:eastAsia="Times New Roman" w:cstheme="minorHAnsi"/>
          <w:sz w:val="28"/>
          <w:szCs w:val="28"/>
        </w:rPr>
      </w:pPr>
      <w:r w:rsidRPr="007A2AF1">
        <w:rPr>
          <w:rFonts w:eastAsia="Times New Roman" w:cstheme="minorHAnsi"/>
          <w:sz w:val="28"/>
          <w:szCs w:val="28"/>
        </w:rPr>
        <w:t>B. EPIPODOPHYLLOTOXINS: Etoposide, teniposide</w:t>
      </w:r>
    </w:p>
    <w:p w:rsidR="007A2AF1" w:rsidRPr="007A2AF1" w:rsidRDefault="007A2AF1" w:rsidP="007A2AF1">
      <w:pPr>
        <w:spacing w:line="360" w:lineRule="auto"/>
        <w:jc w:val="both"/>
        <w:rPr>
          <w:rFonts w:eastAsia="Times New Roman" w:cstheme="minorHAnsi"/>
          <w:sz w:val="28"/>
          <w:szCs w:val="28"/>
        </w:rPr>
      </w:pPr>
      <w:r w:rsidRPr="007A2AF1">
        <w:rPr>
          <w:rFonts w:eastAsia="Times New Roman" w:cstheme="minorHAnsi"/>
          <w:sz w:val="28"/>
          <w:szCs w:val="28"/>
        </w:rPr>
        <w:t>C. ANTITUMOR ANTIBIOTICS: Doxorubicin, daunorubicin, mitoxantrone, epirubicin, dactinomycin, bleomycin, mitomycin.</w:t>
      </w:r>
    </w:p>
    <w:p w:rsidR="007A2AF1" w:rsidRPr="007A2AF1" w:rsidRDefault="007A2AF1" w:rsidP="007A2AF1">
      <w:pPr>
        <w:spacing w:line="360" w:lineRule="auto"/>
        <w:jc w:val="both"/>
        <w:rPr>
          <w:rFonts w:cstheme="minorHAnsi"/>
          <w:sz w:val="28"/>
          <w:szCs w:val="28"/>
        </w:rPr>
      </w:pPr>
    </w:p>
    <w:sectPr w:rsidR="007A2AF1" w:rsidRPr="007A2AF1" w:rsidSect="00687F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C4EA1"/>
    <w:multiLevelType w:val="hybridMultilevel"/>
    <w:tmpl w:val="10781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8622E"/>
    <w:multiLevelType w:val="hybridMultilevel"/>
    <w:tmpl w:val="FE3E3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570D43"/>
    <w:multiLevelType w:val="hybridMultilevel"/>
    <w:tmpl w:val="D9A89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docVars>
    <w:docVar w:name="__Grammarly_42____i" w:val="H4sIAAAAAAAEAKtWckksSQxILCpxzi/NK1GyMqwFAAEhoTITAAAA"/>
    <w:docVar w:name="__Grammarly_42___1" w:val="H4sIAAAAAAAEAKtWcslP9kxRslIyNDYysjQwsjA3NjUyMjY1MzBX0lEKTi0uzszPAykwrAUApTBiOCwAAAA="/>
  </w:docVars>
  <w:rsids>
    <w:rsidRoot w:val="00687F26"/>
    <w:rsid w:val="000E1E26"/>
    <w:rsid w:val="003E4E5F"/>
    <w:rsid w:val="00687F26"/>
    <w:rsid w:val="007A2AF1"/>
    <w:rsid w:val="00922F2A"/>
    <w:rsid w:val="00997996"/>
    <w:rsid w:val="00B63ED1"/>
    <w:rsid w:val="00C53EAF"/>
    <w:rsid w:val="00CB04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E26"/>
    <w:rPr>
      <w:color w:val="0000FF"/>
      <w:u w:val="single"/>
    </w:rPr>
  </w:style>
  <w:style w:type="paragraph" w:styleId="ListParagraph">
    <w:name w:val="List Paragraph"/>
    <w:basedOn w:val="Normal"/>
    <w:uiPriority w:val="34"/>
    <w:qFormat/>
    <w:rsid w:val="000E1E26"/>
    <w:pPr>
      <w:ind w:left="720"/>
      <w:contextualSpacing/>
    </w:pPr>
  </w:style>
</w:styles>
</file>

<file path=word/webSettings.xml><?xml version="1.0" encoding="utf-8"?>
<w:webSettings xmlns:r="http://schemas.openxmlformats.org/officeDocument/2006/relationships" xmlns:w="http://schemas.openxmlformats.org/wordprocessingml/2006/main">
  <w:divs>
    <w:div w:id="9338219">
      <w:bodyDiv w:val="1"/>
      <w:marLeft w:val="0"/>
      <w:marRight w:val="0"/>
      <w:marTop w:val="0"/>
      <w:marBottom w:val="0"/>
      <w:divBdr>
        <w:top w:val="none" w:sz="0" w:space="0" w:color="auto"/>
        <w:left w:val="none" w:sz="0" w:space="0" w:color="auto"/>
        <w:bottom w:val="none" w:sz="0" w:space="0" w:color="auto"/>
        <w:right w:val="none" w:sz="0" w:space="0" w:color="auto"/>
      </w:divBdr>
    </w:div>
    <w:div w:id="260573621">
      <w:bodyDiv w:val="1"/>
      <w:marLeft w:val="0"/>
      <w:marRight w:val="0"/>
      <w:marTop w:val="0"/>
      <w:marBottom w:val="0"/>
      <w:divBdr>
        <w:top w:val="none" w:sz="0" w:space="0" w:color="auto"/>
        <w:left w:val="none" w:sz="0" w:space="0" w:color="auto"/>
        <w:bottom w:val="none" w:sz="0" w:space="0" w:color="auto"/>
        <w:right w:val="none" w:sz="0" w:space="0" w:color="auto"/>
      </w:divBdr>
    </w:div>
    <w:div w:id="355275979">
      <w:bodyDiv w:val="1"/>
      <w:marLeft w:val="0"/>
      <w:marRight w:val="0"/>
      <w:marTop w:val="0"/>
      <w:marBottom w:val="0"/>
      <w:divBdr>
        <w:top w:val="none" w:sz="0" w:space="0" w:color="auto"/>
        <w:left w:val="none" w:sz="0" w:space="0" w:color="auto"/>
        <w:bottom w:val="none" w:sz="0" w:space="0" w:color="auto"/>
        <w:right w:val="none" w:sz="0" w:space="0" w:color="auto"/>
      </w:divBdr>
    </w:div>
    <w:div w:id="1006249887">
      <w:bodyDiv w:val="1"/>
      <w:marLeft w:val="0"/>
      <w:marRight w:val="0"/>
      <w:marTop w:val="0"/>
      <w:marBottom w:val="0"/>
      <w:divBdr>
        <w:top w:val="none" w:sz="0" w:space="0" w:color="auto"/>
        <w:left w:val="none" w:sz="0" w:space="0" w:color="auto"/>
        <w:bottom w:val="none" w:sz="0" w:space="0" w:color="auto"/>
        <w:right w:val="none" w:sz="0" w:space="0" w:color="auto"/>
      </w:divBdr>
    </w:div>
    <w:div w:id="109061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Rajpushpa Labh</dc:creator>
  <cp:keywords/>
  <dc:description/>
  <cp:lastModifiedBy>seemajain</cp:lastModifiedBy>
  <cp:revision>2</cp:revision>
  <dcterms:created xsi:type="dcterms:W3CDTF">2020-03-19T03:54:00Z</dcterms:created>
  <dcterms:modified xsi:type="dcterms:W3CDTF">2020-03-19T03:54:00Z</dcterms:modified>
</cp:coreProperties>
</file>